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1.2" w:lineRule="auto"/>
        <w:rPr>
          <w:b w:val="1"/>
          <w:bCs w:val="1"/>
          <w:sz w:val="27"/>
          <w:szCs w:val="27"/>
        </w:rPr>
      </w:pPr>
      <w:r w:rsidDel="00000000" w:rsidR="00000000" w:rsidRPr="00000000">
        <w:rPr>
          <w:b w:val="1"/>
          <w:bCs w:val="1"/>
          <w:sz w:val="27"/>
          <w:szCs w:val="27"/>
          <w:rtl w:val="0"/>
        </w:rPr>
        <w:t xml:space="preserve">Abstract </w:t>
      </w:r>
    </w:p>
    <w:p w:rsidR="00000000" w:rsidDel="00000000" w:rsidP="00000000" w:rsidRDefault="00000000" w:rsidRPr="00000000" w14:paraId="00000002">
      <w:pPr>
        <w:spacing w:after="0" w:line="331.2" w:lineRule="auto"/>
        <w:jc w:val="left"/>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03">
      <w:pPr>
        <w:spacing w:after="0" w:line="331.2" w:lineRule="auto"/>
        <w:jc w:val="left"/>
        <w:rPr>
          <w:b w:val="1"/>
          <w:bCs w:val="1"/>
          <w:sz w:val="27"/>
          <w:szCs w:val="27"/>
        </w:rPr>
      </w:pPr>
      <w:r w:rsidDel="00000000" w:rsidR="00000000" w:rsidRPr="00000000">
        <w:rPr>
          <w:b w:val="1"/>
          <w:bCs w:val="1"/>
          <w:sz w:val="18"/>
          <w:szCs w:val="18"/>
          <w:rtl w:val="0"/>
        </w:rPr>
        <w:t xml:space="preserve">​</w:t>
      </w:r>
      <w:r w:rsidDel="00000000" w:rsidR="00000000" w:rsidRPr="00000000">
        <w:rPr>
          <w:b w:val="1"/>
          <w:bCs w:val="1"/>
          <w:sz w:val="27"/>
          <w:szCs w:val="27"/>
          <w:rtl w:val="0"/>
        </w:rPr>
        <w:t xml:space="preserve">Background</w:t>
      </w:r>
    </w:p>
    <w:p w:rsidR="00000000" w:rsidDel="00000000" w:rsidP="00000000" w:rsidRDefault="00000000" w:rsidRPr="00000000" w14:paraId="00000004">
      <w:pPr>
        <w:spacing w:after="0" w:line="331.2" w:lineRule="auto"/>
        <w:jc w:val="left"/>
        <w:rPr>
          <w:sz w:val="27"/>
          <w:szCs w:val="27"/>
        </w:rPr>
      </w:pPr>
      <w:r w:rsidDel="00000000" w:rsidR="00000000" w:rsidRPr="00000000">
        <w:rPr>
          <w:sz w:val="27"/>
          <w:szCs w:val="27"/>
          <w:rtl w:val="0"/>
        </w:rPr>
        <w:t xml:space="preserve">Clinical decision support (CDS) systems are widely used to improve medication safety, however, many of these systems are built on adult‑derived logic that does not translate to pediatric physiology or pediatric pharmacist workflows. Cardinal Glennon Children’s Hospital recently adopted Kosmas 4 Kids, an adult-derived CDS platform intended to be tailored to the needs of pediatric patients. Early pharmacist feedback suggested that several of the rules integrated into the program lacked pediatric relevance and contributed to alert fatigue. </w:t>
      </w:r>
    </w:p>
    <w:p w:rsidR="00000000" w:rsidDel="00000000" w:rsidP="00000000" w:rsidRDefault="00000000" w:rsidRPr="00000000" w14:paraId="00000005">
      <w:pPr>
        <w:spacing w:after="0" w:line="331.2" w:lineRule="auto"/>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06">
      <w:pPr>
        <w:spacing w:after="0" w:line="331.2" w:lineRule="auto"/>
        <w:jc w:val="left"/>
        <w:rPr>
          <w:b w:val="1"/>
          <w:bCs w:val="1"/>
          <w:sz w:val="27"/>
          <w:szCs w:val="27"/>
        </w:rPr>
      </w:pPr>
      <w:r w:rsidDel="00000000" w:rsidR="00000000" w:rsidRPr="00000000">
        <w:rPr>
          <w:b w:val="1"/>
          <w:bCs w:val="1"/>
          <w:sz w:val="18"/>
          <w:szCs w:val="18"/>
          <w:rtl w:val="0"/>
        </w:rPr>
        <w:t xml:space="preserve">​</w:t>
      </w:r>
      <w:r w:rsidDel="00000000" w:rsidR="00000000" w:rsidRPr="00000000">
        <w:rPr>
          <w:b w:val="1"/>
          <w:bCs w:val="1"/>
          <w:sz w:val="27"/>
          <w:szCs w:val="27"/>
          <w:rtl w:val="0"/>
        </w:rPr>
        <w:t xml:space="preserve">Methods </w:t>
      </w:r>
    </w:p>
    <w:p w:rsidR="00000000" w:rsidDel="00000000" w:rsidP="00000000" w:rsidRDefault="00000000" w:rsidRPr="00000000" w14:paraId="00000007">
      <w:pPr>
        <w:spacing w:after="0" w:line="331.2" w:lineRule="auto"/>
        <w:jc w:val="left"/>
        <w:rPr>
          <w:sz w:val="27"/>
          <w:szCs w:val="27"/>
        </w:rPr>
      </w:pPr>
      <w:r w:rsidDel="00000000" w:rsidR="00000000" w:rsidRPr="00000000">
        <w:rPr>
          <w:sz w:val="27"/>
          <w:szCs w:val="27"/>
          <w:rtl w:val="0"/>
        </w:rPr>
        <w:t xml:space="preserve">This quality improvement project evaluated alerts acted upon by pharmacists that were generated by Kosmas 4 Kids between April and August 2025. Alerts were categorized by rule type to identify patterns across medication classes and clinical scenarios. The five most frequently triggered rules were examined in depth to assess firing frequency, trigger logic, and alignment with pediatric best practices. Then, the clinical appropriateness of each rule was determined by comparing the rule criteria with pediatric physiology, age-specific laboratory values, and primary literature or guidelines-based thresholds. </w:t>
      </w:r>
    </w:p>
    <w:p w:rsidR="00000000" w:rsidDel="00000000" w:rsidP="00000000" w:rsidRDefault="00000000" w:rsidRPr="00000000" w14:paraId="00000008">
      <w:pPr>
        <w:spacing w:after="0" w:line="331.2" w:lineRule="auto"/>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09">
      <w:pPr>
        <w:spacing w:after="0" w:line="331.2" w:lineRule="auto"/>
        <w:jc w:val="left"/>
        <w:rPr>
          <w:b w:val="1"/>
          <w:bCs w:val="1"/>
          <w:sz w:val="27"/>
          <w:szCs w:val="27"/>
        </w:rPr>
      </w:pPr>
      <w:r w:rsidDel="00000000" w:rsidR="00000000" w:rsidRPr="00000000">
        <w:rPr>
          <w:b w:val="1"/>
          <w:bCs w:val="1"/>
          <w:sz w:val="18"/>
          <w:szCs w:val="18"/>
          <w:rtl w:val="0"/>
        </w:rPr>
        <w:t xml:space="preserve">​</w:t>
      </w:r>
      <w:r w:rsidDel="00000000" w:rsidR="00000000" w:rsidRPr="00000000">
        <w:rPr>
          <w:b w:val="1"/>
          <w:bCs w:val="1"/>
          <w:sz w:val="27"/>
          <w:szCs w:val="27"/>
          <w:rtl w:val="0"/>
        </w:rPr>
        <w:t xml:space="preserve">Results</w:t>
      </w:r>
    </w:p>
    <w:p w:rsidR="00000000" w:rsidDel="00000000" w:rsidP="00000000" w:rsidRDefault="00000000" w:rsidRPr="00000000" w14:paraId="0000000A">
      <w:pPr>
        <w:spacing w:after="0" w:line="331.2" w:lineRule="auto"/>
        <w:jc w:val="left"/>
        <w:rPr>
          <w:sz w:val="27"/>
          <w:szCs w:val="27"/>
        </w:rPr>
      </w:pPr>
      <w:r w:rsidDel="00000000" w:rsidR="00000000" w:rsidRPr="00000000">
        <w:rPr>
          <w:sz w:val="27"/>
          <w:szCs w:val="27"/>
          <w:rtl w:val="0"/>
        </w:rPr>
        <w:t xml:space="preserve">Among 1,131 alerts, five rules accounted for most of the alert burden: Assess: Receiving TPN, Monitor: Abnormal Phosphate Level, Consult: Vancomycin Per Pharmacy, Assess: VTE Prophylaxis, and Consult: Aminoglycoside Per Pharmacy. High‑frequency alerts commonly reflected adult‑based thresholds, lack of pediatric reference ranges, and duplicated antibiotic‑related workflows.</w:t>
      </w:r>
    </w:p>
    <w:p w:rsidR="00000000" w:rsidDel="00000000" w:rsidP="00000000" w:rsidRDefault="00000000" w:rsidRPr="00000000" w14:paraId="0000000B">
      <w:pPr>
        <w:spacing w:after="0" w:line="331.2" w:lineRule="auto"/>
        <w:jc w:val="left"/>
        <w:rPr>
          <w:sz w:val="18"/>
          <w:szCs w:val="18"/>
        </w:rPr>
      </w:pPr>
      <w:r w:rsidDel="00000000" w:rsidR="00000000" w:rsidRPr="00000000">
        <w:rPr>
          <w:sz w:val="18"/>
          <w:szCs w:val="18"/>
          <w:rtl w:val="0"/>
        </w:rPr>
        <w:t xml:space="preserve"> </w:t>
      </w:r>
    </w:p>
    <w:p w:rsidR="00000000" w:rsidDel="00000000" w:rsidP="00000000" w:rsidRDefault="00000000" w:rsidRPr="00000000" w14:paraId="0000000C">
      <w:pPr>
        <w:spacing w:after="0" w:line="331.2" w:lineRule="auto"/>
        <w:jc w:val="left"/>
        <w:rPr>
          <w:b w:val="1"/>
          <w:bCs w:val="1"/>
          <w:sz w:val="27"/>
          <w:szCs w:val="27"/>
        </w:rPr>
      </w:pPr>
      <w:r w:rsidDel="00000000" w:rsidR="00000000" w:rsidRPr="00000000">
        <w:rPr>
          <w:b w:val="1"/>
          <w:bCs w:val="1"/>
          <w:sz w:val="18"/>
          <w:szCs w:val="18"/>
          <w:rtl w:val="0"/>
        </w:rPr>
        <w:t xml:space="preserve">​</w:t>
      </w:r>
      <w:r w:rsidDel="00000000" w:rsidR="00000000" w:rsidRPr="00000000">
        <w:rPr>
          <w:b w:val="1"/>
          <w:bCs w:val="1"/>
          <w:sz w:val="27"/>
          <w:szCs w:val="27"/>
          <w:rtl w:val="0"/>
        </w:rPr>
        <w:t xml:space="preserve">Conclusion</w:t>
      </w:r>
    </w:p>
    <w:p w:rsidR="00000000" w:rsidDel="00000000" w:rsidP="00000000" w:rsidRDefault="00000000" w:rsidRPr="00000000" w14:paraId="0000000D">
      <w:pPr>
        <w:spacing w:after="0" w:line="331.2" w:lineRule="auto"/>
        <w:jc w:val="left"/>
        <w:rPr>
          <w:sz w:val="27"/>
          <w:szCs w:val="27"/>
        </w:rPr>
      </w:pPr>
      <w:r w:rsidDel="00000000" w:rsidR="00000000" w:rsidRPr="00000000">
        <w:rPr>
          <w:sz w:val="27"/>
          <w:szCs w:val="27"/>
          <w:rtl w:val="0"/>
        </w:rPr>
        <w:t xml:space="preserve">Kosmas 4 Kids frequently generated alerts that misaligned with pediatric standards, contributing to alert fatigue. These findings highlight the need for pediatric‑specific CDS redesign incorporating developmental reference ranges, evidence‑based guidelines, and streamlined rule logic to improve relevance and safety.</w:t>
      </w:r>
    </w:p>
    <w:p w:rsidR="00000000" w:rsidDel="00000000" w:rsidP="00000000" w:rsidRDefault="00000000" w:rsidRPr="00000000" w14:paraId="0000000E">
      <w:pPr>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8"/>
        <w:szCs w:val="28"/>
        <w:lang w:val="en"/>
      </w:rPr>
    </w:rPrDefault>
    <w:pPrDefault>
      <w:pPr>
        <w:spacing w:after="6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