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5F3" w:rsidRPr="00D738C9" w:rsidRDefault="001D7405" w:rsidP="003C65F3">
      <w:pPr>
        <w:pStyle w:val="Default"/>
        <w:rPr>
          <w:u w:val="single"/>
        </w:rPr>
      </w:pPr>
      <w:r w:rsidRPr="00D738C9">
        <w:t xml:space="preserve">Below are suggested course components and activities that may be incorporated into a course to meet the proposed </w:t>
      </w:r>
      <w:r w:rsidRPr="00D738C9">
        <w:t>“</w:t>
      </w:r>
      <w:r w:rsidRPr="00D738C9">
        <w:t>out-of-classroom</w:t>
      </w:r>
      <w:r w:rsidRPr="00D738C9">
        <w:t>”</w:t>
      </w:r>
      <w:r w:rsidRPr="00D738C9">
        <w:t xml:space="preserve"> criteria for NFS. This is not an exhaustive list, rather suggestions on how the requirements might be met.</w:t>
      </w:r>
    </w:p>
    <w:p w:rsidR="00332D2C" w:rsidRDefault="00332D2C" w:rsidP="003C65F3">
      <w:pPr>
        <w:pStyle w:val="Default"/>
        <w:rPr>
          <w:u w:val="single"/>
        </w:rPr>
      </w:pPr>
    </w:p>
    <w:p w:rsidR="003C65F3" w:rsidRDefault="003C65F3" w:rsidP="003C65F3">
      <w:pPr>
        <w:pStyle w:val="Default"/>
        <w:rPr>
          <w:u w:val="single"/>
        </w:rPr>
      </w:pPr>
    </w:p>
    <w:p w:rsidR="003C65F3" w:rsidRPr="00FE7D7C" w:rsidRDefault="00FE7D7C" w:rsidP="003C65F3">
      <w:pPr>
        <w:pStyle w:val="Default"/>
        <w:rPr>
          <w:sz w:val="28"/>
          <w:szCs w:val="28"/>
          <w:u w:val="single"/>
        </w:rPr>
      </w:pPr>
      <w:r w:rsidRPr="00FE7D7C">
        <w:rPr>
          <w:b/>
          <w:bCs/>
          <w:sz w:val="28"/>
          <w:szCs w:val="28"/>
          <w:u w:val="single"/>
        </w:rPr>
        <w:t>Pick two of three out-of-classroom experiences/use of local regional resources</w:t>
      </w:r>
    </w:p>
    <w:p w:rsidR="003C65F3" w:rsidRDefault="003C65F3" w:rsidP="003C65F3">
      <w:pPr>
        <w:pStyle w:val="Default"/>
        <w:rPr>
          <w:u w:val="single"/>
        </w:rPr>
      </w:pPr>
    </w:p>
    <w:p w:rsidR="003C65F3" w:rsidRDefault="003C65F3" w:rsidP="003C65F3">
      <w:pPr>
        <w:pStyle w:val="Default"/>
        <w:rPr>
          <w:u w:val="single"/>
        </w:rPr>
      </w:pPr>
    </w:p>
    <w:p w:rsidR="003C65F3" w:rsidRPr="003C65F3" w:rsidRDefault="003C65F3" w:rsidP="003C65F3">
      <w:pPr>
        <w:pStyle w:val="Default"/>
        <w:rPr>
          <w:sz w:val="28"/>
          <w:szCs w:val="28"/>
        </w:rPr>
      </w:pPr>
      <w:r w:rsidRPr="00F330A5">
        <w:rPr>
          <w:b/>
          <w:sz w:val="28"/>
          <w:szCs w:val="28"/>
          <w:u w:val="single"/>
        </w:rPr>
        <w:t>1.</w:t>
      </w:r>
      <w:r w:rsidRPr="003C65F3">
        <w:rPr>
          <w:sz w:val="28"/>
          <w:szCs w:val="28"/>
          <w:u w:val="single"/>
        </w:rPr>
        <w:t xml:space="preserve"> </w:t>
      </w:r>
      <w:r w:rsidRPr="003C65F3">
        <w:rPr>
          <w:b/>
          <w:sz w:val="28"/>
          <w:szCs w:val="28"/>
          <w:u w:val="single"/>
        </w:rPr>
        <w:t>Academic support services</w:t>
      </w:r>
      <w:r w:rsidRPr="003C65F3">
        <w:rPr>
          <w:sz w:val="28"/>
          <w:szCs w:val="28"/>
        </w:rPr>
        <w:t xml:space="preserve"> </w:t>
      </w:r>
    </w:p>
    <w:p w:rsidR="003C65F3" w:rsidRDefault="003C65F3" w:rsidP="003C65F3">
      <w:pPr>
        <w:pStyle w:val="Default"/>
      </w:pPr>
      <w:r w:rsidRPr="003C65F3">
        <w:t xml:space="preserve">Incorporation of academic support services may involve during-class visits to a service center or office, attendance at a workshop offered by a center or office, incorporation of services from one or more units in completing a particular assignment, development of cooperative assignments with one or more units, incorporation of a service-learning component with assistance from the appropriate unit, </w:t>
      </w:r>
      <w:r w:rsidR="008433A0">
        <w:t xml:space="preserve">and visits by representative(s) </w:t>
      </w:r>
      <w:r w:rsidRPr="003C65F3">
        <w:t>of service centers or offices during a class period.</w:t>
      </w:r>
    </w:p>
    <w:p w:rsidR="003C65F3" w:rsidRPr="003C65F3" w:rsidRDefault="003C65F3" w:rsidP="003C65F3">
      <w:pPr>
        <w:pStyle w:val="Default"/>
      </w:pPr>
      <w:r w:rsidRPr="003C65F3">
        <w:t xml:space="preserve"> </w:t>
      </w:r>
    </w:p>
    <w:p w:rsidR="003C65F3" w:rsidRPr="004367C3" w:rsidRDefault="003C65F3" w:rsidP="003C65F3">
      <w:pPr>
        <w:pStyle w:val="Default"/>
        <w:rPr>
          <w:b/>
        </w:rPr>
      </w:pPr>
      <w:r w:rsidRPr="004367C3">
        <w:rPr>
          <w:b/>
        </w:rPr>
        <w:t xml:space="preserve">Academic support services involve the following units: </w:t>
      </w:r>
    </w:p>
    <w:p w:rsidR="003C65F3" w:rsidRPr="003C65F3" w:rsidRDefault="003C65F3" w:rsidP="003C65F3">
      <w:pPr>
        <w:pStyle w:val="Default"/>
      </w:pPr>
      <w:r w:rsidRPr="003C65F3">
        <w:t xml:space="preserve">Instructional Services </w:t>
      </w:r>
    </w:p>
    <w:p w:rsidR="003C65F3" w:rsidRPr="003C65F3" w:rsidRDefault="003C65F3" w:rsidP="003C65F3">
      <w:pPr>
        <w:pStyle w:val="Default"/>
      </w:pPr>
      <w:r w:rsidRPr="003C65F3">
        <w:t xml:space="preserve">The Writing Center </w:t>
      </w:r>
    </w:p>
    <w:p w:rsidR="003C65F3" w:rsidRPr="003C65F3" w:rsidRDefault="003C65F3" w:rsidP="003C65F3">
      <w:pPr>
        <w:pStyle w:val="Default"/>
      </w:pPr>
      <w:r w:rsidRPr="003C65F3">
        <w:t xml:space="preserve">The Speech Center </w:t>
      </w:r>
    </w:p>
    <w:p w:rsidR="003C65F3" w:rsidRPr="003C65F3" w:rsidRDefault="003C65F3" w:rsidP="003C65F3">
      <w:pPr>
        <w:pStyle w:val="Default"/>
      </w:pPr>
      <w:r w:rsidRPr="003C65F3">
        <w:t xml:space="preserve">Math Resource Center </w:t>
      </w:r>
    </w:p>
    <w:p w:rsidR="003C65F3" w:rsidRPr="003C65F3" w:rsidRDefault="003C65F3" w:rsidP="003C65F3">
      <w:pPr>
        <w:pStyle w:val="Default"/>
      </w:pPr>
      <w:r w:rsidRPr="003C65F3">
        <w:t xml:space="preserve">The Career Development Center </w:t>
      </w:r>
    </w:p>
    <w:p w:rsidR="003C65F3" w:rsidRPr="003C65F3" w:rsidRDefault="003C65F3" w:rsidP="003C65F3">
      <w:pPr>
        <w:pStyle w:val="Default"/>
      </w:pPr>
      <w:r w:rsidRPr="003C65F3">
        <w:t xml:space="preserve">Kimmel Leadership Center </w:t>
      </w:r>
    </w:p>
    <w:p w:rsidR="00D60034" w:rsidRDefault="003C65F3" w:rsidP="003C65F3">
      <w:pPr>
        <w:rPr>
          <w:rFonts w:ascii="Times New Roman" w:hAnsi="Times New Roman" w:cs="Times New Roman"/>
          <w:sz w:val="24"/>
          <w:szCs w:val="24"/>
        </w:rPr>
      </w:pPr>
      <w:r w:rsidRPr="003C65F3">
        <w:rPr>
          <w:rFonts w:ascii="Times New Roman" w:hAnsi="Times New Roman" w:cs="Times New Roman"/>
          <w:sz w:val="24"/>
          <w:szCs w:val="24"/>
        </w:rPr>
        <w:t>Library Instruction</w:t>
      </w:r>
    </w:p>
    <w:p w:rsidR="008433A0" w:rsidRDefault="008433A0" w:rsidP="003C65F3">
      <w:pPr>
        <w:rPr>
          <w:rFonts w:ascii="Times New Roman" w:hAnsi="Times New Roman" w:cs="Times New Roman"/>
          <w:sz w:val="24"/>
          <w:szCs w:val="24"/>
        </w:rPr>
      </w:pPr>
    </w:p>
    <w:p w:rsidR="008433A0" w:rsidRPr="008433A0" w:rsidRDefault="008433A0" w:rsidP="008433A0">
      <w:pPr>
        <w:pStyle w:val="Default"/>
        <w:rPr>
          <w:b/>
          <w:sz w:val="28"/>
          <w:szCs w:val="28"/>
          <w:u w:val="single"/>
        </w:rPr>
      </w:pPr>
      <w:r w:rsidRPr="008433A0">
        <w:rPr>
          <w:b/>
          <w:sz w:val="28"/>
          <w:szCs w:val="28"/>
          <w:u w:val="single"/>
        </w:rPr>
        <w:t xml:space="preserve">2. University non-academic social and cultural resources </w:t>
      </w:r>
    </w:p>
    <w:p w:rsidR="008433A0" w:rsidRPr="009F33F9" w:rsidRDefault="008433A0" w:rsidP="008433A0">
      <w:pPr>
        <w:pStyle w:val="Default"/>
      </w:pPr>
      <w:r w:rsidRPr="009F33F9">
        <w:t>Incorporation of university non-academic social and cultural resources may involve ‘field trips’ conducted during class periods, required visit(s) by students outside of class, or incorporation of one or more resources into an assignment or group project.</w:t>
      </w:r>
    </w:p>
    <w:p w:rsidR="008433A0" w:rsidRPr="009F33F9" w:rsidRDefault="008433A0" w:rsidP="008433A0">
      <w:pPr>
        <w:pStyle w:val="Default"/>
      </w:pPr>
      <w:r w:rsidRPr="009F33F9">
        <w:t xml:space="preserve"> </w:t>
      </w:r>
    </w:p>
    <w:p w:rsidR="008433A0" w:rsidRPr="004367C3" w:rsidRDefault="008433A0" w:rsidP="008433A0">
      <w:pPr>
        <w:pStyle w:val="Default"/>
        <w:rPr>
          <w:b/>
        </w:rPr>
      </w:pPr>
      <w:r w:rsidRPr="004367C3">
        <w:rPr>
          <w:b/>
        </w:rPr>
        <w:t xml:space="preserve">University non-academic social and cultural resources could include: </w:t>
      </w:r>
    </w:p>
    <w:p w:rsidR="008433A0" w:rsidRPr="009F33F9" w:rsidRDefault="008433A0" w:rsidP="008433A0">
      <w:pPr>
        <w:pStyle w:val="Default"/>
      </w:pPr>
      <w:r w:rsidRPr="009F33F9">
        <w:t xml:space="preserve">Cougar Lake </w:t>
      </w:r>
    </w:p>
    <w:p w:rsidR="008433A0" w:rsidRPr="009F33F9" w:rsidRDefault="008433A0" w:rsidP="008433A0">
      <w:pPr>
        <w:pStyle w:val="Default"/>
      </w:pPr>
      <w:r w:rsidRPr="009F33F9">
        <w:t xml:space="preserve">The University Museum </w:t>
      </w:r>
    </w:p>
    <w:p w:rsidR="008433A0" w:rsidRPr="009F33F9" w:rsidRDefault="008433A0" w:rsidP="008433A0">
      <w:pPr>
        <w:pStyle w:val="Default"/>
      </w:pPr>
      <w:r w:rsidRPr="009F33F9">
        <w:t xml:space="preserve">Arts and Issues </w:t>
      </w:r>
    </w:p>
    <w:p w:rsidR="008433A0" w:rsidRPr="009F33F9" w:rsidRDefault="008433A0" w:rsidP="008433A0">
      <w:pPr>
        <w:pStyle w:val="Default"/>
      </w:pPr>
      <w:r w:rsidRPr="009F33F9">
        <w:t xml:space="preserve">The East St. Louis Center </w:t>
      </w:r>
    </w:p>
    <w:p w:rsidR="008433A0" w:rsidRPr="009F33F9" w:rsidRDefault="008433A0" w:rsidP="008433A0">
      <w:pPr>
        <w:pStyle w:val="Default"/>
      </w:pPr>
      <w:proofErr w:type="gramStart"/>
      <w:r w:rsidRPr="009F33F9">
        <w:t>various</w:t>
      </w:r>
      <w:proofErr w:type="gramEnd"/>
      <w:r w:rsidRPr="009F33F9">
        <w:t xml:space="preserve"> athletic events &amp; intramural sports </w:t>
      </w:r>
    </w:p>
    <w:p w:rsidR="008433A0" w:rsidRPr="009F33F9" w:rsidRDefault="008433A0" w:rsidP="008433A0">
      <w:pPr>
        <w:pStyle w:val="Default"/>
      </w:pPr>
      <w:proofErr w:type="spellStart"/>
      <w:r w:rsidRPr="009F33F9">
        <w:t>Vadalabene</w:t>
      </w:r>
      <w:proofErr w:type="spellEnd"/>
      <w:r w:rsidRPr="009F33F9">
        <w:t xml:space="preserve"> Center </w:t>
      </w:r>
    </w:p>
    <w:p w:rsidR="008433A0" w:rsidRPr="009F33F9" w:rsidRDefault="008433A0" w:rsidP="008433A0">
      <w:pPr>
        <w:pStyle w:val="Default"/>
      </w:pPr>
      <w:r w:rsidRPr="009F33F9">
        <w:t xml:space="preserve">Student Fitness Center </w:t>
      </w:r>
    </w:p>
    <w:p w:rsidR="008433A0" w:rsidRPr="009F33F9" w:rsidRDefault="008433A0" w:rsidP="008433A0">
      <w:pPr>
        <w:pStyle w:val="Default"/>
      </w:pPr>
      <w:r w:rsidRPr="009F33F9">
        <w:t xml:space="preserve">Myer Arboretum </w:t>
      </w:r>
    </w:p>
    <w:p w:rsidR="008433A0" w:rsidRDefault="006277B9" w:rsidP="008433A0">
      <w:pPr>
        <w:rPr>
          <w:rFonts w:ascii="Times New Roman" w:hAnsi="Times New Roman" w:cs="Times New Roman"/>
          <w:sz w:val="24"/>
          <w:szCs w:val="24"/>
        </w:rPr>
      </w:pPr>
      <w:proofErr w:type="gramStart"/>
      <w:r>
        <w:rPr>
          <w:rFonts w:ascii="Times New Roman" w:hAnsi="Times New Roman" w:cs="Times New Roman"/>
          <w:sz w:val="24"/>
          <w:szCs w:val="24"/>
        </w:rPr>
        <w:t>programs</w:t>
      </w:r>
      <w:proofErr w:type="gramEnd"/>
      <w:r>
        <w:rPr>
          <w:rFonts w:ascii="Times New Roman" w:hAnsi="Times New Roman" w:cs="Times New Roman"/>
          <w:sz w:val="24"/>
          <w:szCs w:val="24"/>
        </w:rPr>
        <w:t xml:space="preserve"> associated </w:t>
      </w:r>
      <w:r w:rsidR="008433A0" w:rsidRPr="009F33F9">
        <w:rPr>
          <w:rFonts w:ascii="Times New Roman" w:hAnsi="Times New Roman" w:cs="Times New Roman"/>
          <w:sz w:val="24"/>
          <w:szCs w:val="24"/>
        </w:rPr>
        <w:t>with University Housing</w:t>
      </w:r>
    </w:p>
    <w:p w:rsidR="00C356E4" w:rsidRDefault="00C356E4" w:rsidP="008433A0">
      <w:pPr>
        <w:rPr>
          <w:rFonts w:ascii="Times New Roman" w:hAnsi="Times New Roman" w:cs="Times New Roman"/>
          <w:sz w:val="24"/>
          <w:szCs w:val="24"/>
        </w:rPr>
      </w:pPr>
    </w:p>
    <w:p w:rsidR="00C356E4" w:rsidRDefault="00C356E4" w:rsidP="008433A0">
      <w:pPr>
        <w:rPr>
          <w:rFonts w:ascii="Times New Roman" w:hAnsi="Times New Roman" w:cs="Times New Roman"/>
          <w:sz w:val="24"/>
          <w:szCs w:val="24"/>
        </w:rPr>
      </w:pPr>
    </w:p>
    <w:p w:rsidR="00D738C9" w:rsidRPr="00D60034" w:rsidRDefault="000A7E87" w:rsidP="000A7E87">
      <w:pPr>
        <w:pStyle w:val="Default"/>
        <w:rPr>
          <w:b/>
          <w:sz w:val="28"/>
          <w:szCs w:val="28"/>
          <w:u w:val="single"/>
        </w:rPr>
      </w:pPr>
      <w:r w:rsidRPr="00D60034">
        <w:rPr>
          <w:b/>
          <w:sz w:val="28"/>
          <w:szCs w:val="28"/>
          <w:u w:val="single"/>
        </w:rPr>
        <w:lastRenderedPageBreak/>
        <w:t xml:space="preserve">3. Local or regional social and cultural resources </w:t>
      </w:r>
    </w:p>
    <w:p w:rsidR="000A7E87" w:rsidRDefault="000A7E87" w:rsidP="000A7E87">
      <w:pPr>
        <w:pStyle w:val="Default"/>
        <w:rPr>
          <w:sz w:val="23"/>
          <w:szCs w:val="23"/>
        </w:rPr>
      </w:pPr>
      <w:r>
        <w:rPr>
          <w:sz w:val="23"/>
          <w:szCs w:val="23"/>
        </w:rPr>
        <w:t>Incorporation of local or regional social and cultural resources may involve ‘field trips’ during class periods, required visit(s) by students outside of class, or incorporation of one or more resources into an assignment or group project.</w:t>
      </w:r>
    </w:p>
    <w:p w:rsidR="000A7E87" w:rsidRDefault="000A7E87" w:rsidP="00C356E4">
      <w:pPr>
        <w:pStyle w:val="Default"/>
        <w:rPr>
          <w:sz w:val="23"/>
          <w:szCs w:val="23"/>
        </w:rPr>
      </w:pPr>
      <w:bookmarkStart w:id="0" w:name="_GoBack"/>
      <w:bookmarkEnd w:id="0"/>
    </w:p>
    <w:p w:rsidR="00C356E4" w:rsidRPr="004367C3" w:rsidRDefault="00C356E4" w:rsidP="00C356E4">
      <w:pPr>
        <w:pStyle w:val="Default"/>
        <w:rPr>
          <w:b/>
        </w:rPr>
      </w:pPr>
      <w:r w:rsidRPr="004367C3">
        <w:rPr>
          <w:b/>
        </w:rPr>
        <w:t xml:space="preserve">Local and regional social and cultural resources could include: </w:t>
      </w:r>
    </w:p>
    <w:p w:rsidR="00C356E4" w:rsidRPr="00D60034" w:rsidRDefault="00C356E4" w:rsidP="00C356E4">
      <w:pPr>
        <w:pStyle w:val="Default"/>
      </w:pPr>
      <w:r w:rsidRPr="00D60034">
        <w:t xml:space="preserve">The Stephenson House </w:t>
      </w:r>
    </w:p>
    <w:p w:rsidR="00C356E4" w:rsidRPr="00D60034" w:rsidRDefault="00C356E4" w:rsidP="00C356E4">
      <w:pPr>
        <w:pStyle w:val="Default"/>
      </w:pPr>
      <w:r w:rsidRPr="00D60034">
        <w:t xml:space="preserve">Watershed Nature Center </w:t>
      </w:r>
    </w:p>
    <w:p w:rsidR="00C356E4" w:rsidRPr="00D60034" w:rsidRDefault="00C356E4" w:rsidP="00C356E4">
      <w:pPr>
        <w:pStyle w:val="Default"/>
      </w:pPr>
      <w:r w:rsidRPr="00D60034">
        <w:t xml:space="preserve">Cahokia Mounds State Park </w:t>
      </w:r>
    </w:p>
    <w:p w:rsidR="00C356E4" w:rsidRPr="00D60034" w:rsidRDefault="00C356E4" w:rsidP="00C356E4">
      <w:pPr>
        <w:pStyle w:val="Default"/>
      </w:pPr>
      <w:r w:rsidRPr="00D60034">
        <w:t xml:space="preserve">St. Louis Art Museum </w:t>
      </w:r>
    </w:p>
    <w:p w:rsidR="00C356E4" w:rsidRPr="00D60034" w:rsidRDefault="00C356E4" w:rsidP="00C356E4">
      <w:pPr>
        <w:pStyle w:val="Default"/>
      </w:pPr>
      <w:r w:rsidRPr="00D60034">
        <w:t xml:space="preserve">St. Louis History Museum </w:t>
      </w:r>
    </w:p>
    <w:p w:rsidR="00C356E4" w:rsidRPr="00D60034" w:rsidRDefault="00C356E4" w:rsidP="00C356E4">
      <w:pPr>
        <w:pStyle w:val="Default"/>
      </w:pPr>
      <w:r w:rsidRPr="00D60034">
        <w:t xml:space="preserve">Lewis and Clark Center </w:t>
      </w:r>
    </w:p>
    <w:p w:rsidR="00C356E4" w:rsidRPr="00D60034" w:rsidRDefault="00C356E4" w:rsidP="00C356E4">
      <w:pPr>
        <w:pStyle w:val="Default"/>
      </w:pPr>
      <w:r w:rsidRPr="00D60034">
        <w:t xml:space="preserve">St. Louis Science Center </w:t>
      </w:r>
    </w:p>
    <w:p w:rsidR="00C356E4" w:rsidRPr="00D60034" w:rsidRDefault="00C356E4" w:rsidP="00C356E4">
      <w:pPr>
        <w:pStyle w:val="Default"/>
      </w:pPr>
      <w:r w:rsidRPr="00D60034">
        <w:t xml:space="preserve">St. Louis Zoo </w:t>
      </w:r>
    </w:p>
    <w:p w:rsidR="00C356E4" w:rsidRPr="00D60034" w:rsidRDefault="00C356E4" w:rsidP="00C356E4">
      <w:pPr>
        <w:pStyle w:val="Default"/>
      </w:pPr>
      <w:r w:rsidRPr="00D60034">
        <w:t xml:space="preserve">Edwardsville Public Library </w:t>
      </w:r>
    </w:p>
    <w:p w:rsidR="00C356E4" w:rsidRPr="00D60034" w:rsidRDefault="00C356E4" w:rsidP="00C356E4">
      <w:pPr>
        <w:pStyle w:val="Default"/>
      </w:pPr>
      <w:r w:rsidRPr="00D60034">
        <w:t xml:space="preserve">Edwardsville Art in the Park </w:t>
      </w:r>
    </w:p>
    <w:p w:rsidR="00C356E4" w:rsidRPr="00D60034" w:rsidRDefault="00C356E4" w:rsidP="00C356E4">
      <w:pPr>
        <w:pStyle w:val="Default"/>
      </w:pPr>
      <w:r w:rsidRPr="00D60034">
        <w:t xml:space="preserve">Children‘s Museum </w:t>
      </w:r>
    </w:p>
    <w:p w:rsidR="00C356E4" w:rsidRPr="00D60034" w:rsidRDefault="00C356E4" w:rsidP="00C356E4">
      <w:pPr>
        <w:pStyle w:val="Default"/>
      </w:pPr>
      <w:r w:rsidRPr="00D60034">
        <w:t xml:space="preserve">Edwardsville Goshen farmer‘s market </w:t>
      </w:r>
    </w:p>
    <w:p w:rsidR="00C356E4" w:rsidRPr="00D60034" w:rsidRDefault="009A402E" w:rsidP="00C356E4">
      <w:pPr>
        <w:pStyle w:val="Default"/>
      </w:pPr>
      <w:r>
        <w:t>S</w:t>
      </w:r>
      <w:r w:rsidR="00C356E4" w:rsidRPr="00D60034">
        <w:t xml:space="preserve">pecial events–e.g., balloon race in St. Louis, Halloween parade in Edwardsville, etc. </w:t>
      </w:r>
    </w:p>
    <w:p w:rsidR="00DD0669" w:rsidRDefault="009A402E" w:rsidP="00C356E4">
      <w:pPr>
        <w:rPr>
          <w:rFonts w:ascii="Times New Roman" w:hAnsi="Times New Roman" w:cs="Times New Roman"/>
          <w:sz w:val="24"/>
          <w:szCs w:val="24"/>
        </w:rPr>
      </w:pPr>
      <w:r>
        <w:rPr>
          <w:rFonts w:ascii="Times New Roman" w:hAnsi="Times New Roman" w:cs="Times New Roman"/>
          <w:sz w:val="24"/>
          <w:szCs w:val="24"/>
        </w:rPr>
        <w:t>L</w:t>
      </w:r>
      <w:r w:rsidR="00C356E4" w:rsidRPr="00D60034">
        <w:rPr>
          <w:rFonts w:ascii="Times New Roman" w:hAnsi="Times New Roman" w:cs="Times New Roman"/>
          <w:sz w:val="24"/>
          <w:szCs w:val="24"/>
        </w:rPr>
        <w:t>ocal community service organizations and projects</w:t>
      </w:r>
    </w:p>
    <w:p w:rsidR="00DD0669" w:rsidRDefault="00DD0669" w:rsidP="00C356E4">
      <w:pPr>
        <w:rPr>
          <w:rFonts w:ascii="Times New Roman" w:hAnsi="Times New Roman" w:cs="Times New Roman"/>
          <w:sz w:val="24"/>
          <w:szCs w:val="24"/>
        </w:rPr>
      </w:pPr>
    </w:p>
    <w:p w:rsidR="00DD0669" w:rsidRPr="00DD0669" w:rsidRDefault="00DD0669" w:rsidP="00C356E4">
      <w:pPr>
        <w:rPr>
          <w:rFonts w:ascii="Times New Roman" w:hAnsi="Times New Roman" w:cs="Times New Roman"/>
          <w:sz w:val="24"/>
          <w:szCs w:val="24"/>
        </w:rPr>
      </w:pPr>
      <w:r w:rsidRPr="00DD0669">
        <w:rPr>
          <w:rFonts w:ascii="Times New Roman" w:hAnsi="Times New Roman" w:cs="Times New Roman"/>
          <w:b/>
          <w:sz w:val="24"/>
          <w:szCs w:val="24"/>
        </w:rPr>
        <w:t>Note:</w:t>
      </w:r>
      <w:r w:rsidRPr="00DD0669">
        <w:rPr>
          <w:rFonts w:ascii="Times New Roman" w:hAnsi="Times New Roman" w:cs="Times New Roman"/>
          <w:sz w:val="24"/>
          <w:szCs w:val="24"/>
        </w:rPr>
        <w:t xml:space="preserve"> The NFS guidelines can be combined in many ways: e.g., requirements could be satisfied by a visit to the East St. Louis Center involving a service-learning component and cooperation with Kimmel.</w:t>
      </w:r>
    </w:p>
    <w:sectPr w:rsidR="00DD0669" w:rsidRPr="00DD0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F3"/>
    <w:rsid w:val="000A7E87"/>
    <w:rsid w:val="001D7405"/>
    <w:rsid w:val="00332D2C"/>
    <w:rsid w:val="003C65F3"/>
    <w:rsid w:val="004367C3"/>
    <w:rsid w:val="006277B9"/>
    <w:rsid w:val="008433A0"/>
    <w:rsid w:val="00844C7D"/>
    <w:rsid w:val="009A402E"/>
    <w:rsid w:val="009F33F9"/>
    <w:rsid w:val="00C356E4"/>
    <w:rsid w:val="00CD7443"/>
    <w:rsid w:val="00D60034"/>
    <w:rsid w:val="00D738C9"/>
    <w:rsid w:val="00DD0669"/>
    <w:rsid w:val="00F330A5"/>
    <w:rsid w:val="00FE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65F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65F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cp:revision>
  <dcterms:created xsi:type="dcterms:W3CDTF">2013-02-25T19:21:00Z</dcterms:created>
  <dcterms:modified xsi:type="dcterms:W3CDTF">2013-02-25T19:37:00Z</dcterms:modified>
</cp:coreProperties>
</file>